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7F" w:rsidRDefault="0073418C" w:rsidP="0073418C">
      <w:pPr>
        <w:pStyle w:val="Title"/>
      </w:pPr>
      <w:r>
        <w:t>FIN</w:t>
      </w:r>
      <w:r w:rsidR="00AC0FC7">
        <w:t>TECH</w:t>
      </w:r>
      <w:r>
        <w:t>-RELATED ARTICLES</w:t>
      </w:r>
    </w:p>
    <w:p w:rsidR="00EF7451" w:rsidRPr="00AC0FC7" w:rsidRDefault="00AC0FC7" w:rsidP="006F203E">
      <w:pPr>
        <w:spacing w:after="480" w:line="240" w:lineRule="auto"/>
        <w:rPr>
          <w:rFonts w:ascii="Times New Roman" w:hAnsi="Times New Roman" w:cs="Times New Roman"/>
          <w:i/>
          <w:color w:val="333333"/>
          <w:sz w:val="24"/>
          <w:szCs w:val="20"/>
        </w:rPr>
      </w:pP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Given below is a list of fintech-related articles authored by Ketharaman Swaminathan. Thanks in part to this collection, </w:t>
      </w:r>
      <w:r w:rsidR="006F203E">
        <w:rPr>
          <w:rFonts w:ascii="Times New Roman" w:hAnsi="Times New Roman" w:cs="Times New Roman"/>
          <w:i/>
          <w:color w:val="333333"/>
          <w:sz w:val="24"/>
          <w:szCs w:val="20"/>
        </w:rPr>
        <w:t>he has</w:t>
      </w: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0"/>
        </w:rPr>
        <w:t xml:space="preserve">been </w:t>
      </w: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named to the "The Royalty of Insightful Financial Services Content" list. Compiled by Bryan Clagett, CMO &amp; Investor in Geezeo, a proven white-label PFM provider for banks and credit unions, </w:t>
      </w:r>
      <w:r w:rsidR="006F203E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Ketharaman is </w:t>
      </w: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the only Indian / Asian on this list that </w:t>
      </w:r>
      <w:r w:rsidR="006F203E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features </w:t>
      </w: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 xml:space="preserve">Ron Shevlin, Jim Marous, Brett King, and other fintech titans </w:t>
      </w:r>
      <w:r>
        <w:rPr>
          <w:rFonts w:ascii="Times New Roman" w:hAnsi="Times New Roman" w:cs="Times New Roman"/>
          <w:i/>
          <w:color w:val="333333"/>
          <w:sz w:val="24"/>
          <w:szCs w:val="20"/>
        </w:rPr>
        <w:t xml:space="preserve">from </w:t>
      </w:r>
      <w:r w:rsidRPr="00AC0FC7">
        <w:rPr>
          <w:rFonts w:ascii="Times New Roman" w:hAnsi="Times New Roman" w:cs="Times New Roman"/>
          <w:i/>
          <w:color w:val="333333"/>
          <w:sz w:val="24"/>
          <w:szCs w:val="20"/>
        </w:rPr>
        <w:t>the USA and UK.</w:t>
      </w:r>
    </w:p>
    <w:p w:rsidR="00EF7451" w:rsidRPr="00EF7451" w:rsidRDefault="00500EEE" w:rsidP="00AC0FC7">
      <w:pPr>
        <w:pStyle w:val="Heading1"/>
        <w:spacing w:before="360" w:after="120" w:line="240" w:lineRule="auto"/>
      </w:pPr>
      <w:hyperlink r:id="rId7" w:history="1">
        <w:r w:rsidR="00EF7451" w:rsidRPr="00EF7451">
          <w:t>Can Chatbots Replace Humans?</w:t>
        </w:r>
      </w:hyperlink>
    </w:p>
    <w:p w:rsidR="00EF7451" w:rsidRDefault="00EF7451" w:rsidP="00EF7451">
      <w:pPr>
        <w:spacing w:before="120" w:after="12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88C2"/>
          <w:sz w:val="20"/>
          <w:szCs w:val="20"/>
        </w:rPr>
        <w:t>14 August 2017  |  12246 views </w:t>
      </w:r>
    </w:p>
    <w:p w:rsidR="00EF7451" w:rsidRDefault="00500EEE" w:rsidP="00EF7451">
      <w:pPr>
        <w:spacing w:after="120" w:line="240" w:lineRule="auto"/>
      </w:pPr>
      <w:hyperlink r:id="rId8" w:history="1">
        <w:r w:rsidR="00EF7451" w:rsidRPr="007D200D">
          <w:rPr>
            <w:rStyle w:val="Hyperlink"/>
          </w:rPr>
          <w:t>https://www.finextra.com/blogposting/14406/can-chatbots-replace-humans</w:t>
        </w:r>
      </w:hyperlink>
    </w:p>
    <w:p w:rsidR="00AC0FC7" w:rsidRPr="00AC0FC7" w:rsidRDefault="00AC0FC7" w:rsidP="00AC0FC7">
      <w:pPr>
        <w:pStyle w:val="Heading1"/>
        <w:spacing w:before="360" w:after="120" w:line="240" w:lineRule="auto"/>
      </w:pPr>
      <w:r w:rsidRPr="00AC0FC7">
        <w:t>How To Fight Credit Card Surcharge And Take CashlessIndia To The Next Level</w:t>
      </w:r>
    </w:p>
    <w:p w:rsidR="00AC0FC7" w:rsidRDefault="00AC0FC7" w:rsidP="00AC0FC7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88C2"/>
          <w:sz w:val="20"/>
          <w:szCs w:val="20"/>
        </w:rPr>
        <w:t>18 July 2017  |  9504 views </w:t>
      </w:r>
    </w:p>
    <w:p w:rsidR="00AC0FC7" w:rsidRDefault="00AC0FC7" w:rsidP="00EF7451">
      <w:pPr>
        <w:spacing w:after="120" w:line="240" w:lineRule="auto"/>
      </w:pPr>
      <w:hyperlink r:id="rId9" w:history="1">
        <w:r w:rsidRPr="007D200D">
          <w:rPr>
            <w:rStyle w:val="Hyperlink"/>
          </w:rPr>
          <w:t>https://www.finextra.com/blogposting/14301/how-to-fight-credit-card-surcharge-and-take-cashlessindia-to-the-next-level</w:t>
        </w:r>
      </w:hyperlink>
    </w:p>
    <w:p w:rsidR="00AC0FC7" w:rsidRPr="00AC0FC7" w:rsidRDefault="00AC0FC7" w:rsidP="00AC0FC7">
      <w:pPr>
        <w:pStyle w:val="Heading1"/>
        <w:spacing w:before="360" w:after="120" w:line="240" w:lineRule="auto"/>
      </w:pPr>
      <w:r w:rsidRPr="00AC0FC7">
        <w:t>Why Branch And Digital Channels Will Coexist Forever</w:t>
      </w:r>
    </w:p>
    <w:p w:rsidR="00AC0FC7" w:rsidRPr="00AC0FC7" w:rsidRDefault="00AC0FC7" w:rsidP="00AC0FC7">
      <w:pPr>
        <w:rPr>
          <w:rFonts w:ascii="Arial" w:hAnsi="Arial" w:cs="Arial"/>
          <w:color w:val="0188C2"/>
          <w:sz w:val="20"/>
          <w:szCs w:val="20"/>
        </w:rPr>
      </w:pPr>
      <w:r w:rsidRPr="00AC0FC7">
        <w:rPr>
          <w:rFonts w:ascii="Arial" w:hAnsi="Arial" w:cs="Arial"/>
          <w:color w:val="0188C2"/>
          <w:sz w:val="20"/>
          <w:szCs w:val="20"/>
        </w:rPr>
        <w:t>08 June 2017  |  7902 views</w:t>
      </w:r>
    </w:p>
    <w:p w:rsidR="00AC0FC7" w:rsidRDefault="00AC0FC7" w:rsidP="00EF7451">
      <w:pPr>
        <w:spacing w:after="120" w:line="240" w:lineRule="auto"/>
      </w:pPr>
      <w:hyperlink r:id="rId10" w:history="1">
        <w:r w:rsidRPr="007D200D">
          <w:rPr>
            <w:rStyle w:val="Hyperlink"/>
          </w:rPr>
          <w:t>https://www.finextra.com/blogposting/14161/why-branch-and-digital-channels-will-coexist-forever</w:t>
        </w:r>
      </w:hyperlink>
    </w:p>
    <w:p w:rsidR="00AC0FC7" w:rsidRDefault="00AC0FC7" w:rsidP="00AC0FC7">
      <w:pPr>
        <w:pStyle w:val="Heading1"/>
        <w:spacing w:before="360" w:after="120" w:line="240" w:lineRule="auto"/>
      </w:pPr>
      <w:r w:rsidRPr="00AC0FC7">
        <w:t>Innovative Fintechs Don’t Need No PSD2 Regulation</w:t>
      </w:r>
    </w:p>
    <w:p w:rsidR="00AC0FC7" w:rsidRPr="00AC0FC7" w:rsidRDefault="00AC0FC7" w:rsidP="00AC0FC7">
      <w:pPr>
        <w:rPr>
          <w:rFonts w:ascii="Arial" w:hAnsi="Arial" w:cs="Arial"/>
          <w:color w:val="0188C2"/>
          <w:sz w:val="20"/>
          <w:szCs w:val="20"/>
        </w:rPr>
      </w:pPr>
      <w:r w:rsidRPr="00AC0FC7">
        <w:rPr>
          <w:rFonts w:ascii="Arial" w:hAnsi="Arial" w:cs="Arial"/>
          <w:color w:val="0188C2"/>
          <w:sz w:val="20"/>
          <w:szCs w:val="20"/>
        </w:rPr>
        <w:t>14 February 2017  |  7533 views</w:t>
      </w:r>
    </w:p>
    <w:p w:rsidR="00AC0FC7" w:rsidRDefault="00AC0FC7" w:rsidP="00EF7451">
      <w:pPr>
        <w:spacing w:after="120" w:line="240" w:lineRule="auto"/>
      </w:pPr>
      <w:hyperlink r:id="rId11" w:history="1">
        <w:r w:rsidRPr="007D200D">
          <w:rPr>
            <w:rStyle w:val="Hyperlink"/>
          </w:rPr>
          <w:t>https://www.finextra.com/blogposting/13704/innovative-fintechs-dont-need-no-psd2-regulation</w:t>
        </w:r>
      </w:hyperlink>
    </w:p>
    <w:p w:rsidR="00AC0FC7" w:rsidRDefault="00AC0FC7" w:rsidP="00AC0FC7">
      <w:pPr>
        <w:pStyle w:val="Heading1"/>
        <w:spacing w:before="360" w:after="120" w:line="240" w:lineRule="auto"/>
      </w:pPr>
      <w:r w:rsidRPr="00AC0FC7">
        <w:t>Five Reasons Why PayTM Is Miles Ahead Of Its Rivals</w:t>
      </w:r>
    </w:p>
    <w:p w:rsidR="00AC0FC7" w:rsidRPr="00AC0FC7" w:rsidRDefault="00AC0FC7" w:rsidP="00AC0FC7">
      <w:pPr>
        <w:rPr>
          <w:rFonts w:ascii="Arial" w:hAnsi="Arial" w:cs="Arial"/>
          <w:color w:val="0188C2"/>
          <w:sz w:val="20"/>
          <w:szCs w:val="20"/>
        </w:rPr>
      </w:pPr>
      <w:r w:rsidRPr="00AC0FC7">
        <w:rPr>
          <w:rFonts w:ascii="Arial" w:hAnsi="Arial" w:cs="Arial"/>
          <w:color w:val="0188C2"/>
          <w:sz w:val="20"/>
          <w:szCs w:val="20"/>
        </w:rPr>
        <w:t>20 January 2017  |  9952 views</w:t>
      </w:r>
    </w:p>
    <w:p w:rsidR="00AC0FC7" w:rsidRDefault="00AC0FC7" w:rsidP="00EF7451">
      <w:pPr>
        <w:spacing w:after="120" w:line="240" w:lineRule="auto"/>
      </w:pPr>
      <w:hyperlink r:id="rId12" w:history="1">
        <w:r w:rsidRPr="007D200D">
          <w:rPr>
            <w:rStyle w:val="Hyperlink"/>
          </w:rPr>
          <w:t>https://www.finextra.com/blogposting/13576/five-reasons-why-paytm-is-miles-ahead-of-its-rivals</w:t>
        </w:r>
      </w:hyperlink>
    </w:p>
    <w:p w:rsidR="00F121A2" w:rsidRDefault="00F121A2" w:rsidP="00AC0FC7">
      <w:pPr>
        <w:pStyle w:val="Heading1"/>
        <w:spacing w:before="360" w:after="120" w:line="240" w:lineRule="auto"/>
      </w:pPr>
      <w:r w:rsidRPr="0073418C">
        <w:t>Impact of Regulation on Financial Services Providers</w:t>
      </w:r>
      <w:r>
        <w:t xml:space="preserve">: Op Ed Article </w:t>
      </w:r>
      <w:r w:rsidRPr="0073418C">
        <w:t>in the Aug. 2012 issue of the Journal of Internet Banking And Commerce</w:t>
      </w:r>
    </w:p>
    <w:p w:rsidR="00F121A2" w:rsidRDefault="00500EEE" w:rsidP="00F121A2">
      <w:hyperlink r:id="rId13" w:history="1">
        <w:r w:rsidR="00F121A2" w:rsidRPr="00AD311B">
          <w:rPr>
            <w:rStyle w:val="Hyperlink"/>
          </w:rPr>
          <w:t>http://www.arraydev.com/commerce/jibc/articles.htm</w:t>
        </w:r>
      </w:hyperlink>
    </w:p>
    <w:p w:rsidR="000A18F9" w:rsidRDefault="000A18F9" w:rsidP="006F203E">
      <w:pPr>
        <w:pStyle w:val="Heading1"/>
        <w:spacing w:before="360" w:after="120" w:line="240" w:lineRule="auto"/>
      </w:pPr>
    </w:p>
    <w:p w:rsidR="00AC0FC7" w:rsidRDefault="00AC0FC7" w:rsidP="006F203E">
      <w:pPr>
        <w:pStyle w:val="Heading1"/>
        <w:spacing w:before="360" w:after="120" w:line="240" w:lineRule="auto"/>
      </w:pPr>
      <w:r w:rsidRPr="00AC0FC7">
        <w:t>Fintechs Need Guts More Than Lawyers</w:t>
      </w:r>
    </w:p>
    <w:p w:rsidR="00AC0FC7" w:rsidRPr="006F203E" w:rsidRDefault="006F203E" w:rsidP="00F121A2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15 August 2016  |  4565 views</w:t>
      </w:r>
    </w:p>
    <w:p w:rsidR="006F203E" w:rsidRDefault="006F203E" w:rsidP="00F121A2">
      <w:hyperlink r:id="rId14" w:history="1">
        <w:r w:rsidRPr="007D200D">
          <w:rPr>
            <w:rStyle w:val="Hyperlink"/>
          </w:rPr>
          <w:t>https://www.finextra.com/blogposting/12970/fintechs-need-guts-more-than-lawyers</w:t>
        </w:r>
      </w:hyperlink>
    </w:p>
    <w:p w:rsidR="006F203E" w:rsidRDefault="006F203E" w:rsidP="006F203E">
      <w:pPr>
        <w:pStyle w:val="Heading1"/>
        <w:spacing w:before="360" w:after="120" w:line="240" w:lineRule="auto"/>
      </w:pPr>
      <w:r w:rsidRPr="006F203E">
        <w:t>Fintechs Need Marketers And Lobbyists, Not Lawyers</w:t>
      </w:r>
    </w:p>
    <w:p w:rsidR="006F203E" w:rsidRPr="006F203E" w:rsidRDefault="006F203E" w:rsidP="00F121A2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31 July 2016  |  4032 views</w:t>
      </w:r>
    </w:p>
    <w:p w:rsidR="006F203E" w:rsidRDefault="006F203E" w:rsidP="00F121A2">
      <w:hyperlink r:id="rId15" w:history="1">
        <w:r w:rsidRPr="007D200D">
          <w:rPr>
            <w:rStyle w:val="Hyperlink"/>
          </w:rPr>
          <w:t>https://www.finextra.com/blogposting/12916/fintechs-need-marketers-and-lobbyists-not-lawyers</w:t>
        </w:r>
      </w:hyperlink>
    </w:p>
    <w:p w:rsidR="006F203E" w:rsidRDefault="006F203E" w:rsidP="00AC0FC7">
      <w:pPr>
        <w:pStyle w:val="Heading1"/>
        <w:spacing w:before="360" w:after="120" w:line="240" w:lineRule="auto"/>
      </w:pPr>
      <w:r w:rsidRPr="006F203E">
        <w:t>Enhanced Remittance Data Could Multiply Electronic Fund Transfer Volumes</w:t>
      </w:r>
    </w:p>
    <w:p w:rsidR="006F203E" w:rsidRPr="006F203E" w:rsidRDefault="006F203E" w:rsidP="006F203E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05 July 2016  |  3796 views</w:t>
      </w:r>
    </w:p>
    <w:p w:rsidR="006F203E" w:rsidRDefault="006F203E" w:rsidP="006F203E">
      <w:hyperlink r:id="rId16" w:history="1">
        <w:r w:rsidRPr="007D200D">
          <w:rPr>
            <w:rStyle w:val="Hyperlink"/>
          </w:rPr>
          <w:t>https://www.finextra.com/blogposting/12812/enhanced-remittance-data-could-multiply-electronic-fund-transfer-volumes</w:t>
        </w:r>
      </w:hyperlink>
    </w:p>
    <w:p w:rsidR="006F203E" w:rsidRDefault="006F203E" w:rsidP="006F203E">
      <w:pPr>
        <w:pStyle w:val="Heading1"/>
        <w:spacing w:before="360" w:after="120" w:line="240" w:lineRule="auto"/>
      </w:pPr>
      <w:r w:rsidRPr="006F203E">
        <w:t>Five Ways For Banks To Boost Credit Card Use</w:t>
      </w:r>
    </w:p>
    <w:p w:rsidR="006F203E" w:rsidRPr="006F203E" w:rsidRDefault="006F203E" w:rsidP="006F203E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26 May 2016  |  5040 views</w:t>
      </w:r>
    </w:p>
    <w:p w:rsidR="006F203E" w:rsidRDefault="006F203E" w:rsidP="006F203E">
      <w:hyperlink r:id="rId17" w:history="1">
        <w:r w:rsidRPr="007D200D">
          <w:rPr>
            <w:rStyle w:val="Hyperlink"/>
          </w:rPr>
          <w:t>https://www.finextra.com/blogposting/12657/five-ways-for-banks-to-boost-credit-card-use</w:t>
        </w:r>
      </w:hyperlink>
    </w:p>
    <w:p w:rsidR="006F203E" w:rsidRDefault="006F203E" w:rsidP="006F203E">
      <w:pPr>
        <w:pStyle w:val="Heading1"/>
        <w:spacing w:before="360" w:after="120" w:line="240" w:lineRule="auto"/>
      </w:pPr>
      <w:r w:rsidRPr="006F203E">
        <w:t>Banks Will Know Chipotle Is Going Bankrupt Before Chipotle</w:t>
      </w:r>
      <w:r>
        <w:t>’s CEO</w:t>
      </w:r>
    </w:p>
    <w:p w:rsidR="006F203E" w:rsidRPr="006F203E" w:rsidRDefault="006F203E" w:rsidP="006F203E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17 April 2016  |  4097 views</w:t>
      </w:r>
    </w:p>
    <w:p w:rsidR="006F203E" w:rsidRDefault="006F203E" w:rsidP="006F203E">
      <w:hyperlink r:id="rId18" w:history="1">
        <w:r w:rsidRPr="007D200D">
          <w:rPr>
            <w:rStyle w:val="Hyperlink"/>
          </w:rPr>
          <w:t>https://www.finextra.com/blogposting/12483/banks-will-know-chipotle-is-going-bankrupt-before-chipotle</w:t>
        </w:r>
      </w:hyperlink>
    </w:p>
    <w:p w:rsidR="0073418C" w:rsidRDefault="006F203E" w:rsidP="006F203E">
      <w:pPr>
        <w:pStyle w:val="Heading1"/>
        <w:spacing w:before="360" w:after="120" w:line="240" w:lineRule="auto"/>
      </w:pPr>
      <w:r w:rsidRPr="006F203E">
        <w:t>How To Really Kill Cash</w:t>
      </w:r>
    </w:p>
    <w:p w:rsidR="006F203E" w:rsidRPr="006F203E" w:rsidRDefault="006F203E" w:rsidP="0073418C">
      <w:pPr>
        <w:rPr>
          <w:rFonts w:ascii="Arial" w:hAnsi="Arial" w:cs="Arial"/>
          <w:color w:val="0188C2"/>
          <w:sz w:val="20"/>
          <w:szCs w:val="20"/>
        </w:rPr>
      </w:pPr>
      <w:r w:rsidRPr="006F203E">
        <w:rPr>
          <w:rFonts w:ascii="Arial" w:hAnsi="Arial" w:cs="Arial"/>
          <w:color w:val="0188C2"/>
          <w:sz w:val="20"/>
          <w:szCs w:val="20"/>
        </w:rPr>
        <w:t>16 March 2016  |  6847 views</w:t>
      </w:r>
    </w:p>
    <w:p w:rsidR="006F203E" w:rsidRDefault="006F203E" w:rsidP="0073418C">
      <w:hyperlink r:id="rId19" w:history="1">
        <w:r w:rsidRPr="007D200D">
          <w:rPr>
            <w:rStyle w:val="Hyperlink"/>
          </w:rPr>
          <w:t>https://www.finextra.com/blogposting/12370/how-to-really-kill-cash</w:t>
        </w:r>
      </w:hyperlink>
    </w:p>
    <w:p w:rsidR="006F203E" w:rsidRDefault="006F203E" w:rsidP="0073418C"/>
    <w:p w:rsidR="00435737" w:rsidRDefault="00435737"/>
    <w:sectPr w:rsidR="00435737" w:rsidSect="0012137F">
      <w:headerReference w:type="default" r:id="rId20"/>
      <w:footerReference w:type="default" r:id="rId21"/>
      <w:pgSz w:w="11906" w:h="16838" w:code="9"/>
      <w:pgMar w:top="1440" w:right="1440" w:bottom="1440" w:left="1440" w:header="1008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B8" w:rsidRDefault="00727FB8" w:rsidP="0012137F">
      <w:pPr>
        <w:spacing w:after="0" w:line="240" w:lineRule="auto"/>
      </w:pPr>
      <w:r>
        <w:separator/>
      </w:r>
    </w:p>
  </w:endnote>
  <w:endnote w:type="continuationSeparator" w:id="1">
    <w:p w:rsidR="00727FB8" w:rsidRDefault="00727FB8" w:rsidP="0012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7F" w:rsidRDefault="0012137F" w:rsidP="0012137F">
    <w:pPr>
      <w:pStyle w:val="Footer"/>
      <w:jc w:val="right"/>
    </w:pPr>
    <w:r>
      <w:rPr>
        <w:color w:val="7F7F7F"/>
        <w:spacing w:val="60"/>
      </w:rPr>
      <w:t>Page</w:t>
    </w:r>
    <w:r>
      <w:t xml:space="preserve"> | </w:t>
    </w:r>
    <w:fldSimple w:instr=" PAGE   \* MERGEFORMAT ">
      <w:r w:rsidR="000A18F9" w:rsidRPr="000A18F9">
        <w:rPr>
          <w:b/>
          <w:noProof/>
        </w:rPr>
        <w:t>1</w:t>
      </w:r>
    </w:fldSimple>
    <w:r>
      <w:t xml:space="preserve"> / </w:t>
    </w:r>
    <w:fldSimple w:instr=" NUMPAGES   \* MERGEFORMAT ">
      <w:r w:rsidR="000A18F9">
        <w:rPr>
          <w:noProof/>
        </w:rPr>
        <w:t>2</w:t>
      </w:r>
    </w:fldSimple>
  </w:p>
  <w:p w:rsidR="0012137F" w:rsidRDefault="00121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B8" w:rsidRDefault="00727FB8" w:rsidP="0012137F">
      <w:pPr>
        <w:spacing w:after="0" w:line="240" w:lineRule="auto"/>
      </w:pPr>
      <w:r>
        <w:separator/>
      </w:r>
    </w:p>
  </w:footnote>
  <w:footnote w:type="continuationSeparator" w:id="1">
    <w:p w:rsidR="00727FB8" w:rsidRDefault="00727FB8" w:rsidP="0012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7F" w:rsidRDefault="00C644F8">
    <w:pPr>
      <w:pStyle w:val="Header"/>
    </w:pPr>
    <w:r w:rsidRPr="00C644F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-220980</wp:posOffset>
          </wp:positionV>
          <wp:extent cx="1266825" cy="219075"/>
          <wp:effectExtent l="19050" t="0" r="9525" b="0"/>
          <wp:wrapTight wrapText="bothSides">
            <wp:wrapPolygon edited="0">
              <wp:start x="-325" y="0"/>
              <wp:lineTo x="-325" y="20661"/>
              <wp:lineTo x="21762" y="20661"/>
              <wp:lineTo x="21762" y="0"/>
              <wp:lineTo x="-325" y="0"/>
            </wp:wrapPolygon>
          </wp:wrapTight>
          <wp:docPr id="1" name="Picture 1" descr="LOGO sketharaman 2 - 100wx17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etharaman 2 - 100wx17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A7D"/>
    <w:multiLevelType w:val="multilevel"/>
    <w:tmpl w:val="0734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5835"/>
    <w:multiLevelType w:val="multilevel"/>
    <w:tmpl w:val="891A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44C63"/>
    <w:multiLevelType w:val="multilevel"/>
    <w:tmpl w:val="7D32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D5A2C"/>
    <w:multiLevelType w:val="multilevel"/>
    <w:tmpl w:val="4C9C8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2137F"/>
    <w:rsid w:val="0003675F"/>
    <w:rsid w:val="00055015"/>
    <w:rsid w:val="000A18F9"/>
    <w:rsid w:val="000A5200"/>
    <w:rsid w:val="0012137F"/>
    <w:rsid w:val="001641D8"/>
    <w:rsid w:val="001933E3"/>
    <w:rsid w:val="001A7972"/>
    <w:rsid w:val="001B5CE9"/>
    <w:rsid w:val="002F28D1"/>
    <w:rsid w:val="00435737"/>
    <w:rsid w:val="004D0A81"/>
    <w:rsid w:val="00500EEE"/>
    <w:rsid w:val="00593493"/>
    <w:rsid w:val="005B5216"/>
    <w:rsid w:val="005F1F73"/>
    <w:rsid w:val="006C1C26"/>
    <w:rsid w:val="006F203E"/>
    <w:rsid w:val="00727FB8"/>
    <w:rsid w:val="0073418C"/>
    <w:rsid w:val="00746F97"/>
    <w:rsid w:val="007E79A3"/>
    <w:rsid w:val="0085582C"/>
    <w:rsid w:val="008C5D2B"/>
    <w:rsid w:val="009E2985"/>
    <w:rsid w:val="00AC0FC7"/>
    <w:rsid w:val="00B856B0"/>
    <w:rsid w:val="00BD3FB0"/>
    <w:rsid w:val="00C644F8"/>
    <w:rsid w:val="00CA4490"/>
    <w:rsid w:val="00CD1823"/>
    <w:rsid w:val="00CE2778"/>
    <w:rsid w:val="00D141A3"/>
    <w:rsid w:val="00D84C9F"/>
    <w:rsid w:val="00E45C09"/>
    <w:rsid w:val="00E93A1C"/>
    <w:rsid w:val="00EF7451"/>
    <w:rsid w:val="00F121A2"/>
    <w:rsid w:val="00F24A8E"/>
    <w:rsid w:val="00F348B9"/>
    <w:rsid w:val="00FA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3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Normal"/>
    <w:link w:val="Heading2Char0"/>
    <w:autoRedefine/>
    <w:qFormat/>
    <w:rsid w:val="00F24A8E"/>
    <w:rPr>
      <w:rFonts w:ascii="Calibri" w:eastAsia="Calibri" w:hAnsi="Calibri" w:cs="Times New Roman"/>
      <w:b/>
      <w:i/>
      <w:sz w:val="24"/>
      <w:szCs w:val="24"/>
    </w:rPr>
  </w:style>
  <w:style w:type="character" w:customStyle="1" w:styleId="Heading2Char0">
    <w:name w:val="Heading2 Char"/>
    <w:basedOn w:val="DefaultParagraphFont"/>
    <w:link w:val="Heading20"/>
    <w:rsid w:val="00F24A8E"/>
    <w:rPr>
      <w:rFonts w:ascii="Calibri" w:eastAsia="Calibri" w:hAnsi="Calibri" w:cs="Times New Roman"/>
      <w:b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7F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21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1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7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213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B5CE9"/>
  </w:style>
  <w:style w:type="character" w:styleId="Strong">
    <w:name w:val="Strong"/>
    <w:basedOn w:val="DefaultParagraphFont"/>
    <w:uiPriority w:val="22"/>
    <w:qFormat/>
    <w:rsid w:val="001B5CE9"/>
    <w:rPr>
      <w:b/>
      <w:bCs/>
    </w:rPr>
  </w:style>
  <w:style w:type="paragraph" w:customStyle="1" w:styleId="wp-caption-text">
    <w:name w:val="wp-caption-text"/>
    <w:basedOn w:val="Normal"/>
    <w:rsid w:val="001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0550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341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45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opblogger">
    <w:name w:val="topblogger"/>
    <w:basedOn w:val="DefaultParagraphFont"/>
    <w:rsid w:val="00EF7451"/>
  </w:style>
  <w:style w:type="character" w:customStyle="1" w:styleId="topbloggerinfo">
    <w:name w:val="topbloggerinfo"/>
    <w:basedOn w:val="DefaultParagraphFont"/>
    <w:rsid w:val="00EF7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002">
          <w:marLeft w:val="15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0" w:color="DDDDDD"/>
          </w:divBdr>
        </w:div>
      </w:divsChild>
    </w:div>
    <w:div w:id="143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507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0" w:color="DDDDDD"/>
          </w:divBdr>
        </w:div>
        <w:div w:id="14925131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0" w:color="DDDDDD"/>
          </w:divBdr>
        </w:div>
      </w:divsChild>
    </w:div>
    <w:div w:id="230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890">
          <w:marLeft w:val="15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0" w:color="DDDDDD"/>
          </w:divBdr>
        </w:div>
      </w:divsChild>
    </w:div>
    <w:div w:id="500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2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0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extra.com/blogposting/14406/can-chatbots-replace-humans" TargetMode="External"/><Relationship Id="rId13" Type="http://schemas.openxmlformats.org/officeDocument/2006/relationships/hyperlink" Target="http://www.arraydev.com/commerce/jibc/articles.htm" TargetMode="External"/><Relationship Id="rId18" Type="http://schemas.openxmlformats.org/officeDocument/2006/relationships/hyperlink" Target="https://www.finextra.com/blogposting/12483/banks-will-know-chipotle-is-going-bankrupt-before-chipotl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inextra.com/blogposting/14406/can-chatbots-replace-humans" TargetMode="External"/><Relationship Id="rId12" Type="http://schemas.openxmlformats.org/officeDocument/2006/relationships/hyperlink" Target="https://www.finextra.com/blogposting/13576/five-reasons-why-paytm-is-miles-ahead-of-its-rivals" TargetMode="External"/><Relationship Id="rId17" Type="http://schemas.openxmlformats.org/officeDocument/2006/relationships/hyperlink" Target="https://www.finextra.com/blogposting/12657/five-ways-for-banks-to-boost-credit-card-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extra.com/blogposting/12812/enhanced-remittance-data-could-multiply-electronic-fund-transfer-volum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extra.com/blogposting/13704/innovative-fintechs-dont-need-no-psd2-regul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nextra.com/blogposting/12916/fintechs-need-marketers-and-lobbyists-not-lawy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inextra.com/blogposting/14161/why-branch-and-digital-channels-will-coexist-forever" TargetMode="External"/><Relationship Id="rId19" Type="http://schemas.openxmlformats.org/officeDocument/2006/relationships/hyperlink" Target="https://www.finextra.com/blogposting/12370/how-to-really-kill-ca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extra.com/blogposting/14301/how-to-fight-credit-card-surcharge-and-take-cashlessindia-to-the-next-level" TargetMode="External"/><Relationship Id="rId14" Type="http://schemas.openxmlformats.org/officeDocument/2006/relationships/hyperlink" Target="https://www.finextra.com/blogposting/12970/fintechs-need-guts-more-than-lawyer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Ketharaman</dc:creator>
  <cp:lastModifiedBy>KetharamanS</cp:lastModifiedBy>
  <cp:revision>8</cp:revision>
  <dcterms:created xsi:type="dcterms:W3CDTF">2013-03-05T13:24:00Z</dcterms:created>
  <dcterms:modified xsi:type="dcterms:W3CDTF">2017-09-05T11:56:00Z</dcterms:modified>
</cp:coreProperties>
</file>